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E0C64" w14:textId="77777777" w:rsidR="00B94547" w:rsidRDefault="00B94547">
      <w:pPr>
        <w:pStyle w:val="Header"/>
        <w:jc w:val="center"/>
      </w:pPr>
    </w:p>
    <w:p w14:paraId="08CE2BBA" w14:textId="77777777" w:rsidR="00B94547" w:rsidRDefault="00B94547"/>
    <w:p w14:paraId="6870386A" w14:textId="77777777" w:rsidR="00B94547" w:rsidRDefault="00B94547"/>
    <w:p w14:paraId="34311D0A" w14:textId="77777777" w:rsidR="00B94547" w:rsidRDefault="00B94547"/>
    <w:p w14:paraId="5B33DD00" w14:textId="77777777" w:rsidR="00B94547" w:rsidRDefault="00B94547">
      <w:pPr>
        <w:pStyle w:val="Heading1"/>
        <w:spacing w:after="120"/>
        <w:rPr>
          <w:sz w:val="20"/>
        </w:rPr>
      </w:pPr>
      <w:r>
        <w:rPr>
          <w:sz w:val="20"/>
        </w:rPr>
        <w:t>DATE:</w:t>
      </w:r>
      <w:r>
        <w:rPr>
          <w:sz w:val="20"/>
        </w:rPr>
        <w:tab/>
      </w:r>
      <w:r>
        <w:rPr>
          <w:sz w:val="20"/>
        </w:rPr>
        <w:tab/>
      </w:r>
      <w:r w:rsidR="00010CF8">
        <w:rPr>
          <w:sz w:val="20"/>
        </w:rPr>
        <w:t>January XX, 20XX</w:t>
      </w:r>
    </w:p>
    <w:p w14:paraId="6FB23711" w14:textId="77777777" w:rsidR="00B94547" w:rsidRDefault="00B94547">
      <w:pPr>
        <w:pStyle w:val="Header"/>
        <w:tabs>
          <w:tab w:val="clear" w:pos="4320"/>
          <w:tab w:val="clear" w:pos="8640"/>
        </w:tabs>
        <w:spacing w:after="120"/>
        <w:rPr>
          <w:rFonts w:ascii="Tahoma" w:hAnsi="Tahoma"/>
        </w:rPr>
      </w:pPr>
      <w:r>
        <w:rPr>
          <w:rFonts w:ascii="Tahoma" w:hAnsi="Tahoma"/>
        </w:rPr>
        <w:t>TO:</w:t>
      </w:r>
      <w:r>
        <w:rPr>
          <w:rFonts w:ascii="Tahoma" w:hAnsi="Tahoma"/>
        </w:rPr>
        <w:tab/>
      </w:r>
      <w:r>
        <w:rPr>
          <w:rFonts w:ascii="Tahoma" w:hAnsi="Tahoma"/>
        </w:rPr>
        <w:tab/>
      </w:r>
      <w:r w:rsidR="00010CF8">
        <w:rPr>
          <w:rFonts w:ascii="Tahoma" w:hAnsi="Tahoma"/>
        </w:rPr>
        <w:t>[Managers/Leaders/Supervisors/Etc.]</w:t>
      </w:r>
    </w:p>
    <w:p w14:paraId="22F780DD" w14:textId="77777777" w:rsidR="00B94547" w:rsidRDefault="00B94547">
      <w:pPr>
        <w:pStyle w:val="Header"/>
        <w:tabs>
          <w:tab w:val="clear" w:pos="4320"/>
          <w:tab w:val="clear" w:pos="8640"/>
        </w:tabs>
        <w:spacing w:after="120"/>
        <w:rPr>
          <w:rFonts w:ascii="Tahoma" w:hAnsi="Tahoma"/>
        </w:rPr>
      </w:pPr>
      <w:r>
        <w:rPr>
          <w:rFonts w:ascii="Tahoma" w:hAnsi="Tahoma"/>
        </w:rPr>
        <w:t>FROM:</w:t>
      </w:r>
      <w:r>
        <w:rPr>
          <w:rFonts w:ascii="Tahoma" w:hAnsi="Tahoma"/>
        </w:rPr>
        <w:tab/>
      </w:r>
      <w:r>
        <w:rPr>
          <w:rFonts w:ascii="Tahoma" w:hAnsi="Tahoma"/>
        </w:rPr>
        <w:tab/>
      </w:r>
      <w:r w:rsidR="00010CF8">
        <w:rPr>
          <w:rFonts w:ascii="Tahoma" w:hAnsi="Tahoma"/>
        </w:rPr>
        <w:t>[HR Leader/Executive]</w:t>
      </w:r>
    </w:p>
    <w:p w14:paraId="0C17512A" w14:textId="77777777" w:rsidR="00B94547" w:rsidRDefault="00B94547">
      <w:pPr>
        <w:spacing w:after="120"/>
        <w:rPr>
          <w:rFonts w:ascii="Tahoma" w:hAnsi="Tahoma"/>
        </w:rPr>
      </w:pPr>
      <w:r>
        <w:rPr>
          <w:rFonts w:ascii="Tahoma" w:hAnsi="Tahoma"/>
        </w:rPr>
        <w:t>SUBJECT:</w:t>
      </w:r>
      <w:r>
        <w:rPr>
          <w:rFonts w:ascii="Tahoma" w:hAnsi="Tahoma"/>
        </w:rPr>
        <w:tab/>
        <w:t>Salary Planning</w:t>
      </w:r>
    </w:p>
    <w:p w14:paraId="7591788B" w14:textId="77777777" w:rsidR="00B94547" w:rsidRDefault="00B94547">
      <w:pPr>
        <w:rPr>
          <w:rFonts w:ascii="Tahoma" w:hAnsi="Tahoma"/>
        </w:rPr>
      </w:pPr>
    </w:p>
    <w:p w14:paraId="68CA66DA" w14:textId="77777777" w:rsidR="00B94547" w:rsidRDefault="00B94547">
      <w:pPr>
        <w:pStyle w:val="Header"/>
        <w:tabs>
          <w:tab w:val="clear" w:pos="4320"/>
          <w:tab w:val="clear" w:pos="8640"/>
        </w:tabs>
        <w:rPr>
          <w:rFonts w:ascii="Tahoma" w:hAnsi="Tahoma"/>
        </w:rPr>
      </w:pPr>
      <w:r>
        <w:rPr>
          <w:rFonts w:ascii="Tahoma" w:hAnsi="Tahoma"/>
        </w:rPr>
        <w:t>It’s that special time of year once again when we ask you to review your employees</w:t>
      </w:r>
      <w:r w:rsidR="00010CF8">
        <w:rPr>
          <w:rFonts w:ascii="Tahoma" w:hAnsi="Tahoma"/>
        </w:rPr>
        <w:t>’</w:t>
      </w:r>
      <w:r>
        <w:rPr>
          <w:rFonts w:ascii="Tahoma" w:hAnsi="Tahoma"/>
        </w:rPr>
        <w:t xml:space="preserve"> salaries, how they relate to their performance and placement in the market, and offer you the opportunity to make salary change recommendations.  Salary actions may include merit, promotions, and equity adjustments.   The process described below is designed for planning and approval of merit increases.  If you are planning a promotion within your group or if after review of the market data provided to you, you determine an employee should receive an equity pay adjustment, please contact your HR Manager. </w:t>
      </w:r>
    </w:p>
    <w:p w14:paraId="37D8AADD" w14:textId="77777777" w:rsidR="00B94547" w:rsidRDefault="00B94547">
      <w:pPr>
        <w:pStyle w:val="Header"/>
        <w:tabs>
          <w:tab w:val="clear" w:pos="4320"/>
          <w:tab w:val="clear" w:pos="8640"/>
        </w:tabs>
        <w:rPr>
          <w:rFonts w:ascii="Tahoma" w:hAnsi="Tahoma"/>
        </w:rPr>
      </w:pPr>
    </w:p>
    <w:p w14:paraId="0E1FA8D2" w14:textId="77777777" w:rsidR="00B94547" w:rsidRDefault="00B94547">
      <w:pPr>
        <w:pStyle w:val="Header"/>
        <w:tabs>
          <w:tab w:val="clear" w:pos="4320"/>
          <w:tab w:val="clear" w:pos="8640"/>
        </w:tabs>
        <w:rPr>
          <w:rFonts w:ascii="Tahoma" w:hAnsi="Tahoma"/>
        </w:rPr>
      </w:pPr>
      <w:r>
        <w:rPr>
          <w:rFonts w:ascii="Tahoma" w:hAnsi="Tahoma"/>
        </w:rPr>
        <w:t xml:space="preserve">All merit increases will be reflected in the </w:t>
      </w:r>
      <w:r w:rsidR="00010CF8">
        <w:rPr>
          <w:rFonts w:ascii="Tahoma" w:hAnsi="Tahoma"/>
        </w:rPr>
        <w:t>[Month XX]</w:t>
      </w:r>
      <w:r>
        <w:rPr>
          <w:rFonts w:ascii="Tahoma" w:hAnsi="Tahoma"/>
        </w:rPr>
        <w:t xml:space="preserve"> paycheck. </w:t>
      </w:r>
    </w:p>
    <w:p w14:paraId="6F9C2D2B" w14:textId="77777777" w:rsidR="00B94547" w:rsidRDefault="00B94547">
      <w:pPr>
        <w:pStyle w:val="Header"/>
        <w:tabs>
          <w:tab w:val="clear" w:pos="4320"/>
          <w:tab w:val="clear" w:pos="8640"/>
        </w:tabs>
        <w:rPr>
          <w:rFonts w:ascii="Tahoma" w:hAnsi="Tahoma"/>
        </w:rPr>
      </w:pPr>
    </w:p>
    <w:p w14:paraId="557DC341" w14:textId="77777777" w:rsidR="00B94547" w:rsidRDefault="00B94547">
      <w:pPr>
        <w:pStyle w:val="Heading7"/>
        <w:jc w:val="left"/>
        <w:rPr>
          <w:sz w:val="20"/>
          <w:u w:val="single"/>
        </w:rPr>
      </w:pPr>
      <w:r>
        <w:rPr>
          <w:sz w:val="20"/>
          <w:u w:val="single"/>
        </w:rPr>
        <w:t>20</w:t>
      </w:r>
      <w:r w:rsidR="00010CF8">
        <w:rPr>
          <w:sz w:val="20"/>
          <w:u w:val="single"/>
        </w:rPr>
        <w:t>XX</w:t>
      </w:r>
      <w:r>
        <w:rPr>
          <w:sz w:val="20"/>
          <w:u w:val="single"/>
        </w:rPr>
        <w:t xml:space="preserve"> Salary Planning Timeline</w:t>
      </w:r>
    </w:p>
    <w:p w14:paraId="54B87F89" w14:textId="77777777" w:rsidR="00B94547" w:rsidRDefault="00B94547"/>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0"/>
        <w:gridCol w:w="1710"/>
      </w:tblGrid>
      <w:tr w:rsidR="00B94547" w14:paraId="7DA57218" w14:textId="77777777">
        <w:tblPrEx>
          <w:tblCellMar>
            <w:top w:w="0" w:type="dxa"/>
            <w:bottom w:w="0" w:type="dxa"/>
          </w:tblCellMar>
        </w:tblPrEx>
        <w:trPr>
          <w:trHeight w:val="455"/>
        </w:trPr>
        <w:tc>
          <w:tcPr>
            <w:tcW w:w="7110" w:type="dxa"/>
          </w:tcPr>
          <w:p w14:paraId="45018C54" w14:textId="77777777" w:rsidR="00B94547" w:rsidRDefault="00010CF8">
            <w:pPr>
              <w:numPr>
                <w:ilvl w:val="0"/>
                <w:numId w:val="5"/>
              </w:numPr>
            </w:pPr>
            <w:r>
              <w:t>SimplyMerit – Salary Training</w:t>
            </w:r>
            <w:r w:rsidR="00B94547">
              <w:t xml:space="preserve"> System </w:t>
            </w:r>
            <w:r>
              <w:t>Training</w:t>
            </w:r>
          </w:p>
        </w:tc>
        <w:tc>
          <w:tcPr>
            <w:tcW w:w="1710" w:type="dxa"/>
          </w:tcPr>
          <w:p w14:paraId="67713905" w14:textId="77777777" w:rsidR="00B94547" w:rsidRDefault="00010CF8">
            <w:r>
              <w:t>XX/XX/20XX</w:t>
            </w:r>
          </w:p>
        </w:tc>
      </w:tr>
      <w:tr w:rsidR="00B94547" w14:paraId="4D637547" w14:textId="77777777">
        <w:tblPrEx>
          <w:tblCellMar>
            <w:top w:w="0" w:type="dxa"/>
            <w:bottom w:w="0" w:type="dxa"/>
          </w:tblCellMar>
        </w:tblPrEx>
        <w:trPr>
          <w:trHeight w:val="455"/>
        </w:trPr>
        <w:tc>
          <w:tcPr>
            <w:tcW w:w="7110" w:type="dxa"/>
          </w:tcPr>
          <w:p w14:paraId="4F16F788" w14:textId="77777777" w:rsidR="00B94547" w:rsidRDefault="00B94547">
            <w:pPr>
              <w:numPr>
                <w:ilvl w:val="0"/>
                <w:numId w:val="5"/>
              </w:numPr>
            </w:pPr>
            <w:r>
              <w:t>Managers Complete Salary Plan and System Closed (no further changes accepted)</w:t>
            </w:r>
          </w:p>
          <w:p w14:paraId="3F22FD24" w14:textId="77777777" w:rsidR="00B94547" w:rsidRDefault="00B94547"/>
        </w:tc>
        <w:tc>
          <w:tcPr>
            <w:tcW w:w="1710" w:type="dxa"/>
          </w:tcPr>
          <w:p w14:paraId="3C5614A9" w14:textId="77777777" w:rsidR="00B94547" w:rsidRDefault="00010CF8">
            <w:r>
              <w:t>XX/XX/20XX</w:t>
            </w:r>
          </w:p>
        </w:tc>
      </w:tr>
      <w:tr w:rsidR="00B94547" w14:paraId="1C83328E" w14:textId="77777777">
        <w:tblPrEx>
          <w:tblCellMar>
            <w:top w:w="0" w:type="dxa"/>
            <w:bottom w:w="0" w:type="dxa"/>
          </w:tblCellMar>
        </w:tblPrEx>
        <w:trPr>
          <w:trHeight w:val="455"/>
        </w:trPr>
        <w:tc>
          <w:tcPr>
            <w:tcW w:w="7110" w:type="dxa"/>
          </w:tcPr>
          <w:p w14:paraId="7B97157B" w14:textId="77777777" w:rsidR="00B94547" w:rsidRDefault="00B94547">
            <w:pPr>
              <w:numPr>
                <w:ilvl w:val="0"/>
                <w:numId w:val="5"/>
              </w:numPr>
            </w:pPr>
            <w:r>
              <w:t>Final Review and Approval of 20</w:t>
            </w:r>
            <w:r w:rsidR="00010CF8">
              <w:t>XX</w:t>
            </w:r>
            <w:r>
              <w:t xml:space="preserve"> Salary Changes (Function Heads/</w:t>
            </w:r>
            <w:r w:rsidR="00010CF8">
              <w:t>CEO/CHRO/Etc.]</w:t>
            </w:r>
          </w:p>
          <w:p w14:paraId="6E201714" w14:textId="77777777" w:rsidR="00B94547" w:rsidRDefault="00B94547"/>
        </w:tc>
        <w:tc>
          <w:tcPr>
            <w:tcW w:w="1710" w:type="dxa"/>
          </w:tcPr>
          <w:p w14:paraId="60223CCB" w14:textId="77777777" w:rsidR="00B94547" w:rsidRDefault="00010CF8">
            <w:r>
              <w:t>XX/XX/20XX</w:t>
            </w:r>
          </w:p>
        </w:tc>
      </w:tr>
      <w:tr w:rsidR="00B94547" w14:paraId="159E0E64" w14:textId="77777777">
        <w:tblPrEx>
          <w:tblCellMar>
            <w:top w:w="0" w:type="dxa"/>
            <w:bottom w:w="0" w:type="dxa"/>
          </w:tblCellMar>
        </w:tblPrEx>
        <w:trPr>
          <w:trHeight w:val="455"/>
        </w:trPr>
        <w:tc>
          <w:tcPr>
            <w:tcW w:w="7110" w:type="dxa"/>
          </w:tcPr>
          <w:p w14:paraId="70374042" w14:textId="77777777" w:rsidR="00B94547" w:rsidRDefault="00B94547">
            <w:pPr>
              <w:numPr>
                <w:ilvl w:val="0"/>
                <w:numId w:val="5"/>
              </w:numPr>
            </w:pPr>
            <w:r>
              <w:t xml:space="preserve">Managers complete performance review discussions and communicate pay changes                                         </w:t>
            </w:r>
            <w:r>
              <w:rPr>
                <w:b/>
                <w:u w:val="single"/>
              </w:rPr>
              <w:t xml:space="preserve">No Later Than </w:t>
            </w:r>
            <w:r>
              <w:rPr>
                <w:b/>
                <w:noProof/>
                <w:u w:val="single"/>
              </w:rPr>
              <w:sym w:font="Wingdings" w:char="F0E0"/>
            </w:r>
          </w:p>
          <w:p w14:paraId="12A9198B" w14:textId="77777777" w:rsidR="00B94547" w:rsidRDefault="00B94547"/>
        </w:tc>
        <w:tc>
          <w:tcPr>
            <w:tcW w:w="1710" w:type="dxa"/>
          </w:tcPr>
          <w:p w14:paraId="7C459CD2" w14:textId="77777777" w:rsidR="00B94547" w:rsidRDefault="00010CF8">
            <w:r>
              <w:t>XX/XX/20XX</w:t>
            </w:r>
          </w:p>
        </w:tc>
      </w:tr>
    </w:tbl>
    <w:p w14:paraId="6B9ACD98" w14:textId="77777777" w:rsidR="00B94547" w:rsidRDefault="00B94547"/>
    <w:p w14:paraId="2CCE340F" w14:textId="77777777" w:rsidR="00B94547" w:rsidRDefault="00B94547">
      <w:pPr>
        <w:rPr>
          <w:rFonts w:ascii="Tahoma" w:hAnsi="Tahoma"/>
        </w:rPr>
      </w:pPr>
    </w:p>
    <w:p w14:paraId="7DAFF664" w14:textId="77777777" w:rsidR="00B94547" w:rsidRDefault="00B94547" w:rsidP="00010CF8">
      <w:pPr>
        <w:pStyle w:val="Header"/>
        <w:tabs>
          <w:tab w:val="clear" w:pos="4320"/>
          <w:tab w:val="clear" w:pos="8640"/>
        </w:tabs>
        <w:rPr>
          <w:rFonts w:ascii="Tahoma" w:hAnsi="Tahoma"/>
        </w:rPr>
      </w:pPr>
      <w:r>
        <w:rPr>
          <w:rFonts w:ascii="Tahoma" w:hAnsi="Tahoma"/>
        </w:rPr>
        <w:t>HR will consolidate and submit the merit plan for approval by senior management.   As indicated in the schedule</w:t>
      </w:r>
      <w:r w:rsidR="00010CF8">
        <w:rPr>
          <w:rFonts w:ascii="Tahoma" w:hAnsi="Tahoma"/>
        </w:rPr>
        <w:t>,</w:t>
      </w:r>
      <w:r>
        <w:rPr>
          <w:rFonts w:ascii="Tahoma" w:hAnsi="Tahoma"/>
        </w:rPr>
        <w:t xml:space="preserve"> merit increases should be communicated to employees after final approval, which is anticipated to be by </w:t>
      </w:r>
      <w:r w:rsidR="00010CF8">
        <w:t>XX/XX/20XX</w:t>
      </w:r>
      <w:r>
        <w:rPr>
          <w:rFonts w:ascii="Tahoma" w:hAnsi="Tahoma"/>
        </w:rPr>
        <w:t xml:space="preserve">, and </w:t>
      </w:r>
      <w:r w:rsidR="00010CF8">
        <w:t>XX/XX/20XX</w:t>
      </w:r>
      <w:r>
        <w:rPr>
          <w:rFonts w:ascii="Tahoma" w:hAnsi="Tahoma"/>
        </w:rPr>
        <w:t xml:space="preserve"> - the date direct deposit information is available via on-line banking.  Under no circumstances should any information be communicated to employees until the merit plan has been approved.</w:t>
      </w:r>
    </w:p>
    <w:p w14:paraId="628C5D73" w14:textId="77777777" w:rsidR="00B94547" w:rsidRDefault="00B94547">
      <w:pPr>
        <w:pStyle w:val="Header"/>
        <w:tabs>
          <w:tab w:val="clear" w:pos="4320"/>
          <w:tab w:val="clear" w:pos="8640"/>
        </w:tabs>
        <w:rPr>
          <w:rFonts w:ascii="Tahoma" w:hAnsi="Tahoma"/>
        </w:rPr>
      </w:pPr>
    </w:p>
    <w:p w14:paraId="3DEA002F" w14:textId="77777777" w:rsidR="00B94547" w:rsidRDefault="00B94547">
      <w:pPr>
        <w:pStyle w:val="Heading3"/>
        <w:spacing w:after="120"/>
        <w:rPr>
          <w:sz w:val="20"/>
        </w:rPr>
      </w:pPr>
      <w:r>
        <w:rPr>
          <w:sz w:val="20"/>
        </w:rPr>
        <w:t>Budget Considerations</w:t>
      </w:r>
    </w:p>
    <w:p w14:paraId="5515EB22" w14:textId="77777777" w:rsidR="00B94547" w:rsidRDefault="00B94547">
      <w:pPr>
        <w:rPr>
          <w:rFonts w:ascii="Tahoma" w:hAnsi="Tahoma"/>
        </w:rPr>
      </w:pPr>
      <w:r>
        <w:rPr>
          <w:rFonts w:ascii="Tahoma" w:hAnsi="Tahoma"/>
        </w:rPr>
        <w:t>The merit pool for 2</w:t>
      </w:r>
      <w:r w:rsidR="00010CF8">
        <w:rPr>
          <w:rFonts w:ascii="Tahoma" w:hAnsi="Tahoma"/>
        </w:rPr>
        <w:t>0XX</w:t>
      </w:r>
      <w:r>
        <w:rPr>
          <w:rFonts w:ascii="Tahoma" w:hAnsi="Tahoma"/>
        </w:rPr>
        <w:t xml:space="preserve"> is</w:t>
      </w:r>
      <w:r w:rsidR="00010CF8">
        <w:rPr>
          <w:rFonts w:ascii="Tahoma" w:hAnsi="Tahoma"/>
        </w:rPr>
        <w:t xml:space="preserve"> X</w:t>
      </w:r>
      <w:r>
        <w:rPr>
          <w:rFonts w:ascii="Tahoma" w:hAnsi="Tahoma"/>
        </w:rPr>
        <w:t>%.  Each department or region’s overall merit increase rate is expected to stay within this budgetary limit.</w:t>
      </w:r>
    </w:p>
    <w:p w14:paraId="44EA4BF2" w14:textId="77777777" w:rsidR="00B94547" w:rsidRDefault="00B94547">
      <w:pPr>
        <w:rPr>
          <w:rFonts w:ascii="Tahoma" w:hAnsi="Tahoma"/>
        </w:rPr>
      </w:pPr>
    </w:p>
    <w:p w14:paraId="6B705F86" w14:textId="77777777" w:rsidR="00B94547" w:rsidRDefault="00B94547">
      <w:pPr>
        <w:pStyle w:val="Heading3"/>
        <w:spacing w:after="120"/>
        <w:rPr>
          <w:sz w:val="20"/>
        </w:rPr>
      </w:pPr>
      <w:r>
        <w:rPr>
          <w:sz w:val="20"/>
        </w:rPr>
        <w:t>Guidelines</w:t>
      </w:r>
    </w:p>
    <w:p w14:paraId="510D8500" w14:textId="77777777" w:rsidR="00B94547" w:rsidRDefault="00B94547">
      <w:pPr>
        <w:pStyle w:val="BodyText"/>
        <w:rPr>
          <w:rFonts w:eastAsia="UWKMJF (KSC)"/>
          <w:sz w:val="20"/>
          <w:lang w:eastAsia="ko-KR"/>
        </w:rPr>
      </w:pPr>
      <w:r>
        <w:rPr>
          <w:rFonts w:eastAsia="UWKMJF (KSC)"/>
          <w:sz w:val="20"/>
          <w:lang w:eastAsia="ko-KR"/>
        </w:rPr>
        <w:t xml:space="preserve">Pay decisions should consider both </w:t>
      </w:r>
      <w:proofErr w:type="gramStart"/>
      <w:r>
        <w:rPr>
          <w:rFonts w:eastAsia="UWKMJF (KSC)"/>
          <w:sz w:val="20"/>
          <w:lang w:eastAsia="ko-KR"/>
        </w:rPr>
        <w:t>market</w:t>
      </w:r>
      <w:proofErr w:type="gramEnd"/>
      <w:r>
        <w:rPr>
          <w:rFonts w:eastAsia="UWKMJF (KSC)"/>
          <w:sz w:val="20"/>
          <w:lang w:eastAsia="ko-KR"/>
        </w:rPr>
        <w:t xml:space="preserve"> pay rates and employee’s performance.  This year we are introducing a </w:t>
      </w:r>
      <w:r w:rsidR="00010CF8">
        <w:rPr>
          <w:rFonts w:eastAsia="UWKMJF (KSC)"/>
          <w:sz w:val="20"/>
          <w:lang w:eastAsia="ko-KR"/>
        </w:rPr>
        <w:t>SimplyMerit, a cloud-ba</w:t>
      </w:r>
      <w:r>
        <w:rPr>
          <w:rFonts w:eastAsia="UWKMJF (KSC)"/>
          <w:sz w:val="20"/>
          <w:lang w:eastAsia="ko-KR"/>
        </w:rPr>
        <w:t>sed planning tool which will provide information specific to each employee in your group such as current base pay, date of last increase, and their placement</w:t>
      </w:r>
      <w:r w:rsidR="00010CF8">
        <w:rPr>
          <w:rFonts w:eastAsia="UWKMJF (KSC)"/>
          <w:sz w:val="20"/>
          <w:lang w:eastAsia="ko-KR"/>
        </w:rPr>
        <w:t xml:space="preserve"> </w:t>
      </w:r>
      <w:r>
        <w:rPr>
          <w:rFonts w:eastAsia="UWKMJF (KSC)"/>
          <w:sz w:val="20"/>
          <w:lang w:eastAsia="ko-KR"/>
        </w:rPr>
        <w:t xml:space="preserve">against the market pay data for their position.  </w:t>
      </w:r>
    </w:p>
    <w:p w14:paraId="0EB42B71" w14:textId="77777777" w:rsidR="00B94547" w:rsidRDefault="00B94547">
      <w:pPr>
        <w:pStyle w:val="BodyText"/>
        <w:rPr>
          <w:rFonts w:eastAsia="UWKMJF (KSC)"/>
          <w:sz w:val="20"/>
          <w:lang w:eastAsia="ko-KR"/>
        </w:rPr>
      </w:pPr>
    </w:p>
    <w:p w14:paraId="30F34ABE" w14:textId="77777777" w:rsidR="00B94547" w:rsidRDefault="00B94547">
      <w:pPr>
        <w:pStyle w:val="BodyText"/>
        <w:rPr>
          <w:rFonts w:eastAsia="UWKMJF (KSC)"/>
          <w:sz w:val="22"/>
          <w:lang w:eastAsia="ko-KR"/>
        </w:rPr>
      </w:pPr>
      <w:r>
        <w:rPr>
          <w:rFonts w:eastAsia="UWKMJF (KSC)"/>
          <w:sz w:val="20"/>
          <w:lang w:eastAsia="ko-KR"/>
        </w:rPr>
        <w:t xml:space="preserve">Using this information, together with their performance rating, we suggest the following guidelines for determining the appropriate increase.  </w:t>
      </w:r>
      <w:r w:rsidRPr="00010CF8">
        <w:rPr>
          <w:rFonts w:eastAsia="UWKMJF (KSC)"/>
          <w:sz w:val="20"/>
          <w:lang w:eastAsia="ko-KR"/>
        </w:rPr>
        <w:t>Keep in mind these guidelines are just that, guidelines for you to refer to when making your pay decisions.</w:t>
      </w:r>
    </w:p>
    <w:p w14:paraId="008739D0" w14:textId="77777777" w:rsidR="00B94547" w:rsidRDefault="00B94547">
      <w:pPr>
        <w:pStyle w:val="BodyText"/>
        <w:rPr>
          <w:rFonts w:eastAsia="UWKMJF (KSC)"/>
          <w:sz w:val="20"/>
          <w:lang w:eastAsia="ko-KR"/>
        </w:rPr>
      </w:pPr>
    </w:p>
    <w:p w14:paraId="5EC18B6C" w14:textId="77777777" w:rsidR="00B94547" w:rsidRDefault="00B94547">
      <w:pPr>
        <w:pStyle w:val="BodyText"/>
        <w:rPr>
          <w:rFonts w:eastAsia="UWKMJF (KSC)"/>
          <w:sz w:val="20"/>
          <w:lang w:eastAsia="ko-KR"/>
        </w:rPr>
      </w:pPr>
    </w:p>
    <w:p w14:paraId="420E842E" w14:textId="77777777" w:rsidR="00B94547" w:rsidRDefault="00B94547">
      <w:pPr>
        <w:pStyle w:val="Heading3"/>
        <w:spacing w:after="120"/>
        <w:jc w:val="center"/>
        <w:rPr>
          <w:sz w:val="20"/>
          <w:u w:val="none"/>
        </w:rPr>
      </w:pPr>
      <w:r>
        <w:rPr>
          <w:sz w:val="20"/>
          <w:u w:val="none"/>
        </w:rPr>
        <w:t>MERIT INCREASE GUIDELINES</w:t>
      </w:r>
    </w:p>
    <w:p w14:paraId="41F1A4C3" w14:textId="77777777" w:rsidR="00B94547" w:rsidRDefault="00B9454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3276"/>
      </w:tblGrid>
      <w:tr w:rsidR="00B94547" w14:paraId="5AC13B1E" w14:textId="77777777">
        <w:tblPrEx>
          <w:tblCellMar>
            <w:top w:w="0" w:type="dxa"/>
            <w:bottom w:w="0" w:type="dxa"/>
          </w:tblCellMar>
        </w:tblPrEx>
        <w:trPr>
          <w:cantSplit/>
          <w:trHeight w:val="600"/>
          <w:jc w:val="center"/>
        </w:trPr>
        <w:tc>
          <w:tcPr>
            <w:tcW w:w="2178" w:type="dxa"/>
          </w:tcPr>
          <w:p w14:paraId="6E4AB4B0" w14:textId="77777777" w:rsidR="00B94547" w:rsidRDefault="00B94547">
            <w:pPr>
              <w:spacing w:before="120" w:after="120"/>
              <w:jc w:val="center"/>
              <w:rPr>
                <w:rFonts w:ascii="Tahoma" w:hAnsi="Tahoma"/>
                <w:b/>
                <w:sz w:val="18"/>
              </w:rPr>
            </w:pPr>
            <w:r>
              <w:rPr>
                <w:rFonts w:ascii="Tahoma" w:hAnsi="Tahoma"/>
                <w:b/>
                <w:sz w:val="18"/>
              </w:rPr>
              <w:t>Performance Rating</w:t>
            </w:r>
          </w:p>
        </w:tc>
        <w:tc>
          <w:tcPr>
            <w:tcW w:w="3276" w:type="dxa"/>
          </w:tcPr>
          <w:p w14:paraId="4302BAB3" w14:textId="77777777" w:rsidR="00B94547" w:rsidRDefault="00B94547">
            <w:pPr>
              <w:spacing w:before="120" w:after="120"/>
              <w:jc w:val="center"/>
              <w:rPr>
                <w:rFonts w:ascii="Tahoma" w:hAnsi="Tahoma"/>
                <w:b/>
                <w:sz w:val="18"/>
              </w:rPr>
            </w:pPr>
            <w:r>
              <w:rPr>
                <w:rFonts w:ascii="Tahoma" w:hAnsi="Tahoma"/>
                <w:b/>
                <w:sz w:val="18"/>
              </w:rPr>
              <w:t>Salary Increase %</w:t>
            </w:r>
          </w:p>
        </w:tc>
      </w:tr>
      <w:tr w:rsidR="00B94547" w14:paraId="29233BCD" w14:textId="77777777">
        <w:tblPrEx>
          <w:tblCellMar>
            <w:top w:w="0" w:type="dxa"/>
            <w:bottom w:w="0" w:type="dxa"/>
          </w:tblCellMar>
        </w:tblPrEx>
        <w:trPr>
          <w:cantSplit/>
          <w:trHeight w:val="600"/>
          <w:jc w:val="center"/>
        </w:trPr>
        <w:tc>
          <w:tcPr>
            <w:tcW w:w="2178" w:type="dxa"/>
          </w:tcPr>
          <w:p w14:paraId="4205E2C9" w14:textId="77777777" w:rsidR="00B94547" w:rsidRDefault="00B94547">
            <w:pPr>
              <w:spacing w:before="120" w:after="120"/>
              <w:jc w:val="center"/>
              <w:rPr>
                <w:rFonts w:ascii="Tahoma" w:hAnsi="Tahoma"/>
                <w:sz w:val="18"/>
              </w:rPr>
            </w:pPr>
          </w:p>
        </w:tc>
        <w:tc>
          <w:tcPr>
            <w:tcW w:w="3276" w:type="dxa"/>
          </w:tcPr>
          <w:p w14:paraId="76DA20A4" w14:textId="77777777" w:rsidR="00B94547" w:rsidRDefault="00B94547">
            <w:pPr>
              <w:spacing w:before="120" w:after="120"/>
              <w:jc w:val="center"/>
              <w:rPr>
                <w:rFonts w:ascii="Tahoma" w:hAnsi="Tahoma"/>
                <w:sz w:val="18"/>
              </w:rPr>
            </w:pPr>
          </w:p>
        </w:tc>
      </w:tr>
      <w:tr w:rsidR="00B94547" w14:paraId="6F9BD7FB" w14:textId="77777777">
        <w:tblPrEx>
          <w:tblCellMar>
            <w:top w:w="0" w:type="dxa"/>
            <w:bottom w:w="0" w:type="dxa"/>
          </w:tblCellMar>
        </w:tblPrEx>
        <w:trPr>
          <w:cantSplit/>
          <w:trHeight w:val="600"/>
          <w:jc w:val="center"/>
        </w:trPr>
        <w:tc>
          <w:tcPr>
            <w:tcW w:w="2178" w:type="dxa"/>
          </w:tcPr>
          <w:p w14:paraId="47B9E3A4" w14:textId="77777777" w:rsidR="00B94547" w:rsidRDefault="00B94547">
            <w:pPr>
              <w:pStyle w:val="Header"/>
              <w:tabs>
                <w:tab w:val="clear" w:pos="4320"/>
                <w:tab w:val="clear" w:pos="8640"/>
              </w:tabs>
              <w:spacing w:before="120" w:after="120"/>
              <w:jc w:val="center"/>
              <w:rPr>
                <w:rFonts w:ascii="Tahoma" w:hAnsi="Tahoma"/>
                <w:sz w:val="18"/>
              </w:rPr>
            </w:pPr>
          </w:p>
        </w:tc>
        <w:tc>
          <w:tcPr>
            <w:tcW w:w="3276" w:type="dxa"/>
          </w:tcPr>
          <w:p w14:paraId="415EDEF3" w14:textId="77777777" w:rsidR="00B94547" w:rsidRDefault="00B94547">
            <w:pPr>
              <w:pStyle w:val="Header"/>
              <w:tabs>
                <w:tab w:val="clear" w:pos="4320"/>
                <w:tab w:val="clear" w:pos="8640"/>
              </w:tabs>
              <w:spacing w:before="120" w:after="120"/>
              <w:jc w:val="center"/>
              <w:rPr>
                <w:rFonts w:ascii="Tahoma" w:hAnsi="Tahoma"/>
                <w:sz w:val="18"/>
              </w:rPr>
            </w:pPr>
          </w:p>
        </w:tc>
      </w:tr>
      <w:tr w:rsidR="00B94547" w14:paraId="13B66D1F" w14:textId="77777777">
        <w:tblPrEx>
          <w:tblCellMar>
            <w:top w:w="0" w:type="dxa"/>
            <w:bottom w:w="0" w:type="dxa"/>
          </w:tblCellMar>
        </w:tblPrEx>
        <w:trPr>
          <w:cantSplit/>
          <w:trHeight w:val="600"/>
          <w:jc w:val="center"/>
        </w:trPr>
        <w:tc>
          <w:tcPr>
            <w:tcW w:w="2178" w:type="dxa"/>
          </w:tcPr>
          <w:p w14:paraId="48B9B1DE" w14:textId="77777777" w:rsidR="00B94547" w:rsidRDefault="00B94547">
            <w:pPr>
              <w:spacing w:before="120" w:after="120"/>
              <w:jc w:val="center"/>
              <w:rPr>
                <w:rFonts w:ascii="Tahoma" w:hAnsi="Tahoma"/>
                <w:sz w:val="18"/>
              </w:rPr>
            </w:pPr>
          </w:p>
        </w:tc>
        <w:tc>
          <w:tcPr>
            <w:tcW w:w="3276" w:type="dxa"/>
          </w:tcPr>
          <w:p w14:paraId="16E96AE4" w14:textId="77777777" w:rsidR="00B94547" w:rsidRDefault="00B94547">
            <w:pPr>
              <w:spacing w:before="120" w:after="120"/>
              <w:jc w:val="center"/>
              <w:rPr>
                <w:rFonts w:ascii="Tahoma" w:hAnsi="Tahoma"/>
                <w:sz w:val="18"/>
              </w:rPr>
            </w:pPr>
          </w:p>
        </w:tc>
      </w:tr>
      <w:tr w:rsidR="00B94547" w14:paraId="703D9FCB" w14:textId="77777777">
        <w:tblPrEx>
          <w:tblCellMar>
            <w:top w:w="0" w:type="dxa"/>
            <w:bottom w:w="0" w:type="dxa"/>
          </w:tblCellMar>
        </w:tblPrEx>
        <w:trPr>
          <w:cantSplit/>
          <w:trHeight w:val="600"/>
          <w:jc w:val="center"/>
        </w:trPr>
        <w:tc>
          <w:tcPr>
            <w:tcW w:w="2178" w:type="dxa"/>
          </w:tcPr>
          <w:p w14:paraId="5884EBE4" w14:textId="77777777" w:rsidR="00B94547" w:rsidRDefault="00B94547">
            <w:pPr>
              <w:spacing w:before="120" w:after="120"/>
              <w:jc w:val="center"/>
              <w:rPr>
                <w:rFonts w:ascii="Tahoma" w:hAnsi="Tahoma"/>
                <w:sz w:val="18"/>
              </w:rPr>
            </w:pPr>
          </w:p>
        </w:tc>
        <w:tc>
          <w:tcPr>
            <w:tcW w:w="3276" w:type="dxa"/>
          </w:tcPr>
          <w:p w14:paraId="7E5A7B6A" w14:textId="77777777" w:rsidR="00B94547" w:rsidRDefault="00B94547">
            <w:pPr>
              <w:spacing w:before="120" w:after="120"/>
              <w:jc w:val="center"/>
              <w:rPr>
                <w:rFonts w:ascii="Tahoma" w:hAnsi="Tahoma"/>
                <w:sz w:val="18"/>
              </w:rPr>
            </w:pPr>
          </w:p>
        </w:tc>
      </w:tr>
      <w:tr w:rsidR="00B94547" w14:paraId="1C8D740A" w14:textId="77777777">
        <w:tblPrEx>
          <w:tblCellMar>
            <w:top w:w="0" w:type="dxa"/>
            <w:bottom w:w="0" w:type="dxa"/>
          </w:tblCellMar>
        </w:tblPrEx>
        <w:trPr>
          <w:cantSplit/>
          <w:trHeight w:val="600"/>
          <w:jc w:val="center"/>
        </w:trPr>
        <w:tc>
          <w:tcPr>
            <w:tcW w:w="2178" w:type="dxa"/>
          </w:tcPr>
          <w:p w14:paraId="07282C8E" w14:textId="77777777" w:rsidR="00B94547" w:rsidRDefault="00B94547">
            <w:pPr>
              <w:spacing w:before="120" w:after="120"/>
              <w:jc w:val="center"/>
              <w:rPr>
                <w:rFonts w:ascii="Tahoma" w:hAnsi="Tahoma"/>
                <w:sz w:val="18"/>
              </w:rPr>
            </w:pPr>
          </w:p>
        </w:tc>
        <w:tc>
          <w:tcPr>
            <w:tcW w:w="3276" w:type="dxa"/>
          </w:tcPr>
          <w:p w14:paraId="2B41F62A" w14:textId="77777777" w:rsidR="00B94547" w:rsidRDefault="00B94547">
            <w:pPr>
              <w:spacing w:before="120" w:after="120"/>
              <w:jc w:val="center"/>
              <w:rPr>
                <w:rFonts w:ascii="Tahoma" w:hAnsi="Tahoma"/>
                <w:sz w:val="18"/>
              </w:rPr>
            </w:pPr>
          </w:p>
        </w:tc>
      </w:tr>
    </w:tbl>
    <w:p w14:paraId="79A961BF" w14:textId="77777777" w:rsidR="00B94547" w:rsidRDefault="00B94547">
      <w:pPr>
        <w:pStyle w:val="Header"/>
        <w:tabs>
          <w:tab w:val="clear" w:pos="4320"/>
          <w:tab w:val="clear" w:pos="8640"/>
        </w:tabs>
        <w:rPr>
          <w:rFonts w:ascii="Tahoma" w:hAnsi="Tahoma"/>
        </w:rPr>
      </w:pPr>
    </w:p>
    <w:p w14:paraId="7217CC7A" w14:textId="77777777" w:rsidR="00B94547" w:rsidRDefault="00B94547">
      <w:pPr>
        <w:ind w:firstLine="720"/>
        <w:rPr>
          <w:rFonts w:ascii="Tahoma" w:hAnsi="Tahoma"/>
        </w:rPr>
      </w:pPr>
      <w:r>
        <w:rPr>
          <w:rFonts w:ascii="Tahoma" w:hAnsi="Tahoma"/>
        </w:rPr>
        <w:tab/>
      </w:r>
      <w:r>
        <w:rPr>
          <w:rFonts w:ascii="Tahoma" w:hAnsi="Tahoma"/>
        </w:rPr>
        <w:tab/>
      </w:r>
      <w:r>
        <w:rPr>
          <w:rFonts w:ascii="Tahoma" w:eastAsia="UWKMJF (KSC)" w:hAnsi="Tahoma" w:hint="eastAsia"/>
          <w:lang w:eastAsia="ko-KR"/>
        </w:rPr>
        <w:tab/>
      </w:r>
    </w:p>
    <w:p w14:paraId="160C5A56" w14:textId="77777777" w:rsidR="00B94547" w:rsidRDefault="00B94547">
      <w:pPr>
        <w:pStyle w:val="Heading3"/>
        <w:spacing w:after="120"/>
        <w:rPr>
          <w:sz w:val="20"/>
        </w:rPr>
      </w:pPr>
      <w:r>
        <w:rPr>
          <w:sz w:val="20"/>
        </w:rPr>
        <w:t>Pro-ration &amp; Timing Adjustments</w:t>
      </w:r>
    </w:p>
    <w:p w14:paraId="72F24C03" w14:textId="4F5B843E" w:rsidR="00B94547" w:rsidRDefault="00B94547">
      <w:pPr>
        <w:pStyle w:val="BodyText3"/>
        <w:rPr>
          <w:sz w:val="20"/>
        </w:rPr>
      </w:pPr>
      <w:r>
        <w:rPr>
          <w:sz w:val="20"/>
        </w:rPr>
        <w:t xml:space="preserve">There may be situations where an increase should be less than the full annualized amount.  For </w:t>
      </w:r>
      <w:proofErr w:type="gramStart"/>
      <w:r>
        <w:rPr>
          <w:sz w:val="20"/>
        </w:rPr>
        <w:t>example,  an</w:t>
      </w:r>
      <w:proofErr w:type="gramEnd"/>
      <w:r>
        <w:rPr>
          <w:sz w:val="20"/>
        </w:rPr>
        <w:t xml:space="preserve"> employee’s merit increase because he/she has been with the company for less than a full year (</w:t>
      </w:r>
      <w:r w:rsidR="00010CF8">
        <w:rPr>
          <w:sz w:val="20"/>
        </w:rPr>
        <w:t>January thru December</w:t>
      </w:r>
      <w:r>
        <w:rPr>
          <w:sz w:val="20"/>
        </w:rPr>
        <w:t xml:space="preserve">) and their pay level is competitive. </w:t>
      </w:r>
      <w:r w:rsidR="00010CF8">
        <w:rPr>
          <w:sz w:val="20"/>
        </w:rPr>
        <w:t xml:space="preserve">In these cases, the </w:t>
      </w:r>
      <w:r>
        <w:rPr>
          <w:sz w:val="20"/>
        </w:rPr>
        <w:t>following formula</w:t>
      </w:r>
      <w:r w:rsidR="00010CF8">
        <w:rPr>
          <w:sz w:val="20"/>
        </w:rPr>
        <w:t xml:space="preserve"> will be applied</w:t>
      </w:r>
      <w:r w:rsidR="00AF4B57">
        <w:rPr>
          <w:sz w:val="20"/>
        </w:rPr>
        <w:t xml:space="preserve"> automatically by SimplyMerit</w:t>
      </w:r>
      <w:r w:rsidR="00010CF8">
        <w:rPr>
          <w:sz w:val="20"/>
        </w:rPr>
        <w:t>:</w:t>
      </w:r>
    </w:p>
    <w:p w14:paraId="545B06D3" w14:textId="77777777" w:rsidR="00B94547" w:rsidRDefault="00B94547">
      <w:pPr>
        <w:pStyle w:val="Header"/>
        <w:tabs>
          <w:tab w:val="clear" w:pos="4320"/>
          <w:tab w:val="clear" w:pos="8640"/>
        </w:tabs>
        <w:rPr>
          <w:rFonts w:ascii="Tahoma" w:hAnsi="Tahoma"/>
        </w:rPr>
      </w:pPr>
    </w:p>
    <w:p w14:paraId="4321B0AF" w14:textId="1EA48215" w:rsidR="00B94547" w:rsidRDefault="00B94547">
      <w:pPr>
        <w:ind w:left="720"/>
        <w:rPr>
          <w:rFonts w:ascii="Tahoma" w:hAnsi="Tahoma"/>
        </w:rPr>
      </w:pPr>
      <w:r>
        <w:rPr>
          <w:rFonts w:ascii="Tahoma" w:hAnsi="Tahoma"/>
        </w:rPr>
        <w:t xml:space="preserve">Annual % increase forecasted X </w:t>
      </w:r>
      <w:r w:rsidR="00AF4B57">
        <w:rPr>
          <w:rFonts w:ascii="Tahoma" w:hAnsi="Tahoma"/>
          <w:u w:val="single"/>
        </w:rPr>
        <w:t>days</w:t>
      </w:r>
      <w:r>
        <w:rPr>
          <w:rFonts w:ascii="Tahoma" w:hAnsi="Tahoma"/>
          <w:u w:val="single"/>
        </w:rPr>
        <w:t xml:space="preserve"> since date of hire or promotion</w:t>
      </w:r>
    </w:p>
    <w:p w14:paraId="7E83EFDA" w14:textId="04B9508A" w:rsidR="00B94547" w:rsidRDefault="00B94547">
      <w:pPr>
        <w:ind w:left="720" w:firstLine="720"/>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sidR="00AF4B57">
        <w:rPr>
          <w:rFonts w:ascii="Tahoma" w:hAnsi="Tahoma"/>
        </w:rPr>
        <w:t>365</w:t>
      </w:r>
      <w:r>
        <w:rPr>
          <w:rFonts w:ascii="Tahoma" w:hAnsi="Tahoma"/>
        </w:rPr>
        <w:t xml:space="preserve"> </w:t>
      </w:r>
      <w:r w:rsidR="00F846ED">
        <w:rPr>
          <w:rFonts w:ascii="Tahoma" w:hAnsi="Tahoma"/>
        </w:rPr>
        <w:t xml:space="preserve">or 366 </w:t>
      </w:r>
      <w:r w:rsidR="00AF4B57">
        <w:rPr>
          <w:rFonts w:ascii="Tahoma" w:hAnsi="Tahoma"/>
        </w:rPr>
        <w:t>days</w:t>
      </w:r>
    </w:p>
    <w:p w14:paraId="26958CF0" w14:textId="77777777" w:rsidR="00B94547" w:rsidRDefault="00B94547">
      <w:pPr>
        <w:pStyle w:val="BodyText3"/>
        <w:rPr>
          <w:sz w:val="20"/>
        </w:rPr>
      </w:pPr>
    </w:p>
    <w:p w14:paraId="524C87B6" w14:textId="77777777" w:rsidR="00B94547" w:rsidRDefault="00B94547">
      <w:pPr>
        <w:pStyle w:val="BodyText3"/>
        <w:rPr>
          <w:sz w:val="20"/>
        </w:rPr>
      </w:pPr>
      <w:r>
        <w:rPr>
          <w:sz w:val="20"/>
        </w:rPr>
        <w:t>If you have a question about pro-rating an increase or a special circumstance, such as an employee having been on a performance improvement plan or off on a paid or unpaid absence for an extended period of time, please contact your HR manager to discuss the situation.</w:t>
      </w:r>
    </w:p>
    <w:p w14:paraId="5CFF379E" w14:textId="77777777" w:rsidR="00B94547" w:rsidRDefault="00B94547">
      <w:pPr>
        <w:pStyle w:val="Heading3"/>
        <w:spacing w:after="120"/>
        <w:rPr>
          <w:sz w:val="20"/>
        </w:rPr>
      </w:pPr>
    </w:p>
    <w:p w14:paraId="460594D2" w14:textId="77777777" w:rsidR="00B94547" w:rsidRDefault="00B94547">
      <w:pPr>
        <w:pStyle w:val="Heading3"/>
        <w:spacing w:after="120"/>
        <w:rPr>
          <w:sz w:val="20"/>
        </w:rPr>
      </w:pPr>
      <w:r>
        <w:rPr>
          <w:sz w:val="20"/>
        </w:rPr>
        <w:t>Other Issues</w:t>
      </w:r>
    </w:p>
    <w:p w14:paraId="5F2B0FC2" w14:textId="77777777" w:rsidR="00B94547" w:rsidRDefault="00B94547">
      <w:pPr>
        <w:rPr>
          <w:rFonts w:ascii="Tahoma" w:hAnsi="Tahoma"/>
        </w:rPr>
      </w:pPr>
      <w:r>
        <w:rPr>
          <w:rFonts w:ascii="Tahoma" w:hAnsi="Tahoma"/>
        </w:rPr>
        <w:t>Employees who transferred to new positions during the year are included with their new, current department for merit planning.  These employees are to be reviewed by their new managers, who are expected to contact the previous manager for input into the evaluation as appropriate.</w:t>
      </w:r>
    </w:p>
    <w:p w14:paraId="12086CA8" w14:textId="77777777" w:rsidR="00B94547" w:rsidRDefault="00B94547">
      <w:pPr>
        <w:rPr>
          <w:rFonts w:ascii="Tahoma" w:hAnsi="Tahoma"/>
        </w:rPr>
      </w:pPr>
    </w:p>
    <w:p w14:paraId="683D2113" w14:textId="67E9DCB6" w:rsidR="00B94547" w:rsidRDefault="00B94547">
      <w:pPr>
        <w:rPr>
          <w:rFonts w:ascii="Tahoma" w:hAnsi="Tahoma"/>
        </w:rPr>
      </w:pPr>
      <w:r>
        <w:rPr>
          <w:rFonts w:ascii="Tahoma" w:hAnsi="Tahoma"/>
        </w:rPr>
        <w:t xml:space="preserve">For promotions coming up that will coincide with the merit process, please contact your HR manager </w:t>
      </w:r>
      <w:r w:rsidR="00AF4B57">
        <w:rPr>
          <w:rFonts w:ascii="Tahoma" w:hAnsi="Tahoma"/>
        </w:rPr>
        <w:t>with any questions. SimplyMerit will help you manage both merit and promotion adjustments.</w:t>
      </w:r>
    </w:p>
    <w:p w14:paraId="0C2AD103" w14:textId="77777777" w:rsidR="00B94547" w:rsidRDefault="00B94547">
      <w:pPr>
        <w:rPr>
          <w:rFonts w:ascii="Tahoma" w:hAnsi="Tahoma"/>
          <w:sz w:val="22"/>
        </w:rPr>
      </w:pPr>
    </w:p>
    <w:p w14:paraId="61A12446" w14:textId="77777777" w:rsidR="00B94547" w:rsidRDefault="00B94547">
      <w:pPr>
        <w:rPr>
          <w:rFonts w:ascii="Tahoma" w:hAnsi="Tahoma"/>
        </w:rPr>
      </w:pPr>
      <w:r>
        <w:rPr>
          <w:rFonts w:ascii="Tahoma" w:hAnsi="Tahoma"/>
        </w:rPr>
        <w:t>If you have questions, please feel free to contact me or your HR manager.  Thank you for your attention to this important process.</w:t>
      </w:r>
    </w:p>
    <w:sectPr w:rsidR="00B94547">
      <w:footerReference w:type="even" r:id="rId9"/>
      <w:footerReference w:type="default" r:id="rId10"/>
      <w:pgSz w:w="12240" w:h="15840" w:code="1"/>
      <w:pgMar w:top="1008" w:right="1440" w:bottom="1152"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BD661" w14:textId="77777777" w:rsidR="00B94547" w:rsidRDefault="00B94547">
      <w:r>
        <w:separator/>
      </w:r>
    </w:p>
  </w:endnote>
  <w:endnote w:type="continuationSeparator" w:id="0">
    <w:p w14:paraId="75582926" w14:textId="77777777" w:rsidR="00B94547" w:rsidRDefault="00B9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WKMJF (KSC)">
    <w:panose1 w:val="020B0604020202020204"/>
    <w:charset w:val="81"/>
    <w:family w:val="auto"/>
    <w:pitch w:val="variable"/>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52F93" w14:textId="77777777" w:rsidR="00B94547" w:rsidRDefault="00B945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8ED4D9" w14:textId="77777777" w:rsidR="00B94547" w:rsidRDefault="00B94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6C75E" w14:textId="77777777" w:rsidR="00B94547" w:rsidRDefault="00B945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FB2C00" w14:textId="77777777" w:rsidR="00B94547" w:rsidRDefault="00B9454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97681" w14:textId="77777777" w:rsidR="00B94547" w:rsidRDefault="00B94547">
      <w:r>
        <w:separator/>
      </w:r>
    </w:p>
  </w:footnote>
  <w:footnote w:type="continuationSeparator" w:id="0">
    <w:p w14:paraId="6198C2A6" w14:textId="77777777" w:rsidR="00B94547" w:rsidRDefault="00B94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66C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36412A6"/>
    <w:multiLevelType w:val="singleLevel"/>
    <w:tmpl w:val="75A253D4"/>
    <w:lvl w:ilvl="0">
      <w:start w:val="1"/>
      <w:numFmt w:val="bullet"/>
      <w:lvlText w:val=""/>
      <w:lvlJc w:val="left"/>
      <w:pPr>
        <w:tabs>
          <w:tab w:val="num" w:pos="360"/>
        </w:tabs>
        <w:ind w:left="144" w:hanging="144"/>
      </w:pPr>
      <w:rPr>
        <w:rFonts w:ascii="Symbol" w:hAnsi="Symbol" w:hint="default"/>
      </w:rPr>
    </w:lvl>
  </w:abstractNum>
  <w:abstractNum w:abstractNumId="2" w15:restartNumberingAfterBreak="0">
    <w:nsid w:val="4ACA7D68"/>
    <w:multiLevelType w:val="singleLevel"/>
    <w:tmpl w:val="75A253D4"/>
    <w:lvl w:ilvl="0">
      <w:start w:val="1"/>
      <w:numFmt w:val="bullet"/>
      <w:lvlText w:val=""/>
      <w:lvlJc w:val="left"/>
      <w:pPr>
        <w:tabs>
          <w:tab w:val="num" w:pos="360"/>
        </w:tabs>
        <w:ind w:left="144" w:hanging="144"/>
      </w:pPr>
      <w:rPr>
        <w:rFonts w:ascii="Symbol" w:hAnsi="Symbol" w:hint="default"/>
      </w:rPr>
    </w:lvl>
  </w:abstractNum>
  <w:abstractNum w:abstractNumId="3" w15:restartNumberingAfterBreak="0">
    <w:nsid w:val="4C6D373C"/>
    <w:multiLevelType w:val="singleLevel"/>
    <w:tmpl w:val="75A253D4"/>
    <w:lvl w:ilvl="0">
      <w:start w:val="1"/>
      <w:numFmt w:val="bullet"/>
      <w:lvlText w:val=""/>
      <w:lvlJc w:val="left"/>
      <w:pPr>
        <w:tabs>
          <w:tab w:val="num" w:pos="360"/>
        </w:tabs>
        <w:ind w:left="144" w:hanging="144"/>
      </w:pPr>
      <w:rPr>
        <w:rFonts w:ascii="Symbol" w:hAnsi="Symbol" w:hint="default"/>
      </w:rPr>
    </w:lvl>
  </w:abstractNum>
  <w:abstractNum w:abstractNumId="4" w15:restartNumberingAfterBreak="0">
    <w:nsid w:val="768B7239"/>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0NDU0NzI3sTS1NDBV0lEKTi0uzszPAykwrAUAB8Wz+iwAAAA="/>
  </w:docVars>
  <w:rsids>
    <w:rsidRoot w:val="00D06B64"/>
    <w:rsid w:val="00010CF8"/>
    <w:rsid w:val="00AF4B57"/>
    <w:rsid w:val="00B94547"/>
    <w:rsid w:val="00D06B64"/>
    <w:rsid w:val="00F8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2FD43A"/>
  <w15:chartTrackingRefBased/>
  <w15:docId w15:val="{188046E3-17FA-DC42-82E4-03545180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Tahoma" w:hAnsi="Tahoma"/>
      <w:sz w:val="24"/>
    </w:rPr>
  </w:style>
  <w:style w:type="paragraph" w:styleId="Heading2">
    <w:name w:val="heading 2"/>
    <w:basedOn w:val="Normal"/>
    <w:next w:val="Normal"/>
    <w:qFormat/>
    <w:pPr>
      <w:keepNext/>
      <w:outlineLvl w:val="1"/>
    </w:pPr>
    <w:rPr>
      <w:rFonts w:ascii="Tahoma" w:hAnsi="Tahoma"/>
      <w:b/>
      <w:sz w:val="24"/>
      <w:u w:val="single"/>
    </w:rPr>
  </w:style>
  <w:style w:type="paragraph" w:styleId="Heading3">
    <w:name w:val="heading 3"/>
    <w:basedOn w:val="Normal"/>
    <w:next w:val="Normal"/>
    <w:qFormat/>
    <w:pPr>
      <w:keepNext/>
      <w:outlineLvl w:val="2"/>
    </w:pPr>
    <w:rPr>
      <w:rFonts w:ascii="Tahoma" w:hAnsi="Tahoma"/>
      <w:b/>
      <w:sz w:val="22"/>
      <w:u w:val="single"/>
    </w:rPr>
  </w:style>
  <w:style w:type="paragraph" w:styleId="Heading4">
    <w:name w:val="heading 4"/>
    <w:basedOn w:val="Normal"/>
    <w:next w:val="Normal"/>
    <w:qFormat/>
    <w:pPr>
      <w:keepNext/>
      <w:outlineLvl w:val="3"/>
    </w:pPr>
    <w:rPr>
      <w:rFonts w:ascii="Tahoma" w:hAnsi="Tahoma"/>
      <w:b/>
      <w:sz w:val="22"/>
    </w:rPr>
  </w:style>
  <w:style w:type="paragraph" w:styleId="Heading5">
    <w:name w:val="heading 5"/>
    <w:basedOn w:val="Normal"/>
    <w:next w:val="Normal"/>
    <w:qFormat/>
    <w:pPr>
      <w:keepNext/>
      <w:outlineLvl w:val="4"/>
    </w:pPr>
    <w:rPr>
      <w:rFonts w:ascii="Tahoma" w:hAnsi="Tahoma"/>
      <w:b/>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spacing w:before="120" w:after="120"/>
      <w:jc w:val="center"/>
      <w:outlineLvl w:val="6"/>
    </w:pPr>
    <w:rPr>
      <w:rFonts w:ascii="Tahoma" w:hAnsi="Tahoma"/>
      <w:b/>
      <w:sz w:val="18"/>
    </w:rPr>
  </w:style>
  <w:style w:type="paragraph" w:styleId="Heading8">
    <w:name w:val="heading 8"/>
    <w:basedOn w:val="Normal"/>
    <w:next w:val="Normal"/>
    <w:qFormat/>
    <w:pPr>
      <w:keepNext/>
      <w:outlineLvl w:val="7"/>
    </w:pPr>
    <w:rPr>
      <w:rFonts w:ascii="Tahoma" w:hAnsi="Tahoma"/>
      <w:b/>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Tahoma" w:hAnsi="Tahoma"/>
      <w:sz w:val="24"/>
    </w:rPr>
  </w:style>
  <w:style w:type="paragraph" w:styleId="BodyText2">
    <w:name w:val="Body Text 2"/>
    <w:basedOn w:val="Normal"/>
    <w:semiHidden/>
    <w:rPr>
      <w:rFonts w:ascii="Tahoma" w:hAnsi="Tahoma"/>
      <w:b/>
      <w:sz w:val="22"/>
      <w:u w:val="single"/>
    </w:rPr>
  </w:style>
  <w:style w:type="paragraph" w:styleId="BodyText3">
    <w:name w:val="Body Text 3"/>
    <w:basedOn w:val="Normal"/>
    <w:semiHidden/>
    <w:rPr>
      <w:rFonts w:ascii="Tahoma" w:hAnsi="Tahoma"/>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360"/>
    </w:pPr>
    <w:rPr>
      <w:rFonts w:ascii="Tahoma" w:hAnsi="Tahoma"/>
    </w:rPr>
  </w:style>
  <w:style w:type="paragraph" w:styleId="Closing">
    <w:name w:val="Closing"/>
    <w:basedOn w:val="Normal"/>
    <w:semiHidden/>
    <w:pPr>
      <w:keepNext/>
      <w:spacing w:line="220" w:lineRule="atLeast"/>
    </w:pPr>
    <w:rPr>
      <w:rFonts w:ascii="Arial" w:hAnsi="Arial"/>
      <w:spacing w:val="-5"/>
    </w:rPr>
  </w:style>
  <w:style w:type="character" w:styleId="Strong">
    <w:name w:val="Strong"/>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278F59EB45474CB99A7B28A8C5C976" ma:contentTypeVersion="12" ma:contentTypeDescription="Create a new document." ma:contentTypeScope="" ma:versionID="464d3ef9f2544dc7edc94f776cb73be2">
  <xsd:schema xmlns:xsd="http://www.w3.org/2001/XMLSchema" xmlns:xs="http://www.w3.org/2001/XMLSchema" xmlns:p="http://schemas.microsoft.com/office/2006/metadata/properties" xmlns:ns2="303014f7-8b1a-4bd9-8acc-1a56423d5495" xmlns:ns3="5e70126c-4389-4926-8b5e-24b919cc1e7e" targetNamespace="http://schemas.microsoft.com/office/2006/metadata/properties" ma:root="true" ma:fieldsID="96df4fb44136528ed19fd538ab779b8b" ns2:_="" ns3:_="">
    <xsd:import namespace="303014f7-8b1a-4bd9-8acc-1a56423d5495"/>
    <xsd:import namespace="5e70126c-4389-4926-8b5e-24b919cc1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014f7-8b1a-4bd9-8acc-1a56423d5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0126c-4389-4926-8b5e-24b919cc1e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9B258-F1C6-436C-B233-E7997993E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014f7-8b1a-4bd9-8acc-1a56423d5495"/>
    <ds:schemaRef ds:uri="5e70126c-4389-4926-8b5e-24b919cc1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1FAF9-E81A-4902-B986-6937911CEA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DATE:</vt:lpstr>
    </vt:vector>
  </TitlesOfParts>
  <Company>Takeda Pharmaceuticals</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Jessica Lee</dc:creator>
  <cp:keywords/>
  <dc:description/>
  <cp:lastModifiedBy>Neil Morgan</cp:lastModifiedBy>
  <cp:revision>3</cp:revision>
  <cp:lastPrinted>2000-12-15T22:08:00Z</cp:lastPrinted>
  <dcterms:created xsi:type="dcterms:W3CDTF">2021-06-15T03:24:00Z</dcterms:created>
  <dcterms:modified xsi:type="dcterms:W3CDTF">2021-06-15T03:25:00Z</dcterms:modified>
</cp:coreProperties>
</file>